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42" w:rsidRDefault="00F50542" w:rsidP="00F50542">
      <w:pPr>
        <w:pStyle w:val="NormalWeb"/>
        <w:shd w:val="clear" w:color="auto" w:fill="002060"/>
        <w:jc w:val="center"/>
        <w:rPr>
          <w:rStyle w:val="Strong"/>
          <w:rFonts w:ascii="Calibri" w:hAnsi="Calibri" w:cs="Calibri"/>
          <w:color w:val="FFFFFF" w:themeColor="background1"/>
          <w:sz w:val="32"/>
          <w:szCs w:val="32"/>
        </w:rPr>
      </w:pPr>
      <w:r w:rsidRPr="00F50542"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D50CCF5" wp14:editId="7FD3CD6F">
            <wp:simplePos x="0" y="0"/>
            <wp:positionH relativeFrom="margin">
              <wp:posOffset>106680</wp:posOffset>
            </wp:positionH>
            <wp:positionV relativeFrom="paragraph">
              <wp:posOffset>76200</wp:posOffset>
            </wp:positionV>
            <wp:extent cx="885966" cy="5905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ctions yuk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441" cy="594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0542" w:rsidRPr="00F10738" w:rsidRDefault="00831C18" w:rsidP="00F50542">
      <w:pPr>
        <w:pStyle w:val="NormalWeb"/>
        <w:shd w:val="clear" w:color="auto" w:fill="002060"/>
        <w:jc w:val="center"/>
        <w:rPr>
          <w:rStyle w:val="Strong"/>
          <w:rFonts w:ascii="Calibri" w:hAnsi="Calibri" w:cs="Calibri"/>
          <w:color w:val="FFFFFF" w:themeColor="background1"/>
          <w:sz w:val="36"/>
          <w:szCs w:val="36"/>
        </w:rPr>
      </w:pPr>
      <w:r>
        <w:rPr>
          <w:rStyle w:val="Strong"/>
          <w:rFonts w:ascii="Calibri" w:hAnsi="Calibri" w:cs="Calibri"/>
          <w:color w:val="FFFFFF" w:themeColor="background1"/>
          <w:sz w:val="36"/>
          <w:szCs w:val="36"/>
        </w:rPr>
        <w:t>MEDIA ADVISORY</w:t>
      </w:r>
    </w:p>
    <w:p w:rsidR="00121EAB" w:rsidRPr="00F50542" w:rsidRDefault="00B44918" w:rsidP="00F50542">
      <w:pPr>
        <w:pStyle w:val="NormalWeb"/>
        <w:shd w:val="clear" w:color="auto" w:fill="002060"/>
        <w:jc w:val="center"/>
        <w:rPr>
          <w:rFonts w:ascii="Calibri" w:hAnsi="Calibri" w:cs="Calibri"/>
          <w:color w:val="FFFFFF" w:themeColor="background1"/>
          <w:sz w:val="32"/>
          <w:szCs w:val="32"/>
        </w:rPr>
      </w:pPr>
      <w:r w:rsidRPr="00F50542">
        <w:rPr>
          <w:rStyle w:val="Strong"/>
          <w:rFonts w:ascii="Calibri" w:hAnsi="Calibri" w:cs="Calibri"/>
          <w:color w:val="FFFFFF" w:themeColor="background1"/>
          <w:sz w:val="32"/>
          <w:szCs w:val="32"/>
        </w:rPr>
        <w:t xml:space="preserve"> </w:t>
      </w:r>
    </w:p>
    <w:p w:rsidR="00121EAB" w:rsidRDefault="00121EAB" w:rsidP="00121EAB">
      <w:pPr>
        <w:pStyle w:val="NormalWeb"/>
        <w:shd w:val="clear" w:color="auto" w:fill="FFFFFF"/>
        <w:jc w:val="center"/>
        <w:rPr>
          <w:rFonts w:ascii="Calibri" w:hAnsi="Calibri" w:cs="Calibri"/>
          <w:color w:val="000000"/>
        </w:rPr>
      </w:pPr>
      <w:r>
        <w:rPr>
          <w:rStyle w:val="Strong"/>
          <w:rFonts w:ascii="Calibri" w:hAnsi="Calibri" w:cs="Calibri"/>
          <w:color w:val="000000"/>
        </w:rPr>
        <w:t> </w:t>
      </w:r>
    </w:p>
    <w:p w:rsidR="00121EAB" w:rsidRDefault="003832F9" w:rsidP="00121EAB">
      <w:pPr>
        <w:pStyle w:val="NormalWeb"/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July </w:t>
      </w:r>
      <w:r w:rsidR="008B7217">
        <w:rPr>
          <w:rFonts w:ascii="Calibri" w:hAnsi="Calibri" w:cs="Calibri"/>
          <w:color w:val="000000"/>
        </w:rPr>
        <w:t>13, 2020</w:t>
      </w:r>
    </w:p>
    <w:p w:rsidR="00B46345" w:rsidRPr="00853E9F" w:rsidRDefault="00B46345" w:rsidP="00B46345">
      <w:pPr>
        <w:pStyle w:val="Default"/>
        <w:spacing w:before="240"/>
        <w:jc w:val="center"/>
        <w:rPr>
          <w:rFonts w:asciiTheme="minorHAnsi" w:hAnsiTheme="minorHAnsi"/>
          <w:b/>
          <w:color w:val="auto"/>
        </w:rPr>
      </w:pPr>
      <w:r>
        <w:rPr>
          <w:rFonts w:asciiTheme="minorHAnsi" w:hAnsiTheme="minorHAnsi"/>
          <w:b/>
          <w:color w:val="auto"/>
        </w:rPr>
        <w:t>2019</w:t>
      </w:r>
      <w:r w:rsidRPr="00853E9F">
        <w:rPr>
          <w:rFonts w:asciiTheme="minorHAnsi" w:hAnsiTheme="minorHAnsi"/>
          <w:b/>
          <w:color w:val="auto"/>
        </w:rPr>
        <w:t xml:space="preserve"> ANNUAL REPORT ON POLITICAL PARTY REVENUES </w:t>
      </w:r>
      <w:r>
        <w:rPr>
          <w:rFonts w:asciiTheme="minorHAnsi" w:hAnsiTheme="minorHAnsi"/>
          <w:b/>
          <w:color w:val="auto"/>
        </w:rPr>
        <w:t>RELEASED</w:t>
      </w:r>
    </w:p>
    <w:p w:rsidR="00B46345" w:rsidRPr="00853E9F" w:rsidRDefault="00B46345" w:rsidP="00B46345">
      <w:pPr>
        <w:pStyle w:val="Default"/>
        <w:rPr>
          <w:rFonts w:asciiTheme="minorHAnsi" w:hAnsiTheme="minorHAnsi"/>
          <w:color w:val="auto"/>
        </w:rPr>
      </w:pPr>
    </w:p>
    <w:p w:rsidR="00B46345" w:rsidRDefault="00B46345" w:rsidP="00B46345">
      <w:pPr>
        <w:pStyle w:val="Default"/>
        <w:spacing w:line="264" w:lineRule="auto"/>
        <w:rPr>
          <w:rFonts w:asciiTheme="minorHAnsi" w:eastAsia="Times New Roman" w:hAnsiTheme="minorHAnsi"/>
          <w:color w:val="4C4D4F"/>
        </w:rPr>
      </w:pPr>
      <w:r>
        <w:rPr>
          <w:rFonts w:asciiTheme="minorHAnsi" w:eastAsia="Times New Roman" w:hAnsiTheme="minorHAnsi"/>
          <w:color w:val="4C4D4F"/>
        </w:rPr>
        <w:t xml:space="preserve">The Chief Electoral Officer, Maxwell Harvey, has released the annual revenue report on </w:t>
      </w:r>
      <w:r>
        <w:rPr>
          <w:rFonts w:asciiTheme="minorHAnsi" w:eastAsia="Times New Roman" w:hAnsiTheme="minorHAnsi"/>
          <w:i/>
          <w:color w:val="4C4D4F"/>
        </w:rPr>
        <w:t xml:space="preserve">Political Party Revenues </w:t>
      </w:r>
      <w:r w:rsidRPr="00B46345">
        <w:rPr>
          <w:rFonts w:asciiTheme="minorHAnsi" w:eastAsia="Times New Roman" w:hAnsiTheme="minorHAnsi"/>
          <w:color w:val="4C4D4F"/>
        </w:rPr>
        <w:t xml:space="preserve">which covers the </w:t>
      </w:r>
      <w:r>
        <w:rPr>
          <w:rFonts w:asciiTheme="minorHAnsi" w:eastAsia="Times New Roman" w:hAnsiTheme="minorHAnsi"/>
          <w:color w:val="4C4D4F"/>
        </w:rPr>
        <w:t xml:space="preserve">2019 </w:t>
      </w:r>
      <w:r w:rsidRPr="00B46345">
        <w:rPr>
          <w:rFonts w:asciiTheme="minorHAnsi" w:eastAsia="Times New Roman" w:hAnsiTheme="minorHAnsi"/>
          <w:color w:val="4C4D4F"/>
        </w:rPr>
        <w:t xml:space="preserve">calendar year. </w:t>
      </w:r>
      <w:r>
        <w:rPr>
          <w:rFonts w:asciiTheme="minorHAnsi" w:eastAsia="Times New Roman" w:hAnsiTheme="minorHAnsi"/>
          <w:i/>
          <w:color w:val="4C4D4F"/>
        </w:rPr>
        <w:t xml:space="preserve">  </w:t>
      </w:r>
      <w:r>
        <w:rPr>
          <w:rFonts w:asciiTheme="minorHAnsi" w:eastAsia="Times New Roman" w:hAnsiTheme="minorHAnsi"/>
          <w:color w:val="4C4D4F"/>
        </w:rPr>
        <w:t xml:space="preserve">It will be tabled in the Legislative Assembly during the next session.  It is now available online at </w:t>
      </w:r>
      <w:hyperlink r:id="rId8" w:history="1">
        <w:r w:rsidRPr="006D6052">
          <w:rPr>
            <w:rStyle w:val="Hyperlink"/>
            <w:rFonts w:asciiTheme="minorHAnsi" w:eastAsia="Times New Roman" w:hAnsiTheme="minorHAnsi"/>
          </w:rPr>
          <w:t>www.electionsyukon.ca</w:t>
        </w:r>
      </w:hyperlink>
    </w:p>
    <w:p w:rsidR="00233690" w:rsidRDefault="00233690" w:rsidP="00B46345">
      <w:pPr>
        <w:pStyle w:val="Default"/>
        <w:spacing w:before="240" w:after="120" w:line="264" w:lineRule="auto"/>
        <w:rPr>
          <w:rFonts w:asciiTheme="minorHAnsi" w:eastAsia="Times New Roman" w:hAnsiTheme="minorHAnsi"/>
          <w:color w:val="4C4D4F"/>
        </w:rPr>
      </w:pPr>
      <w:r w:rsidRPr="001C357F">
        <w:rPr>
          <w:rFonts w:asciiTheme="minorHAnsi" w:eastAsia="Times New Roman" w:hAnsiTheme="minorHAnsi"/>
          <w:color w:val="4C4D4F"/>
        </w:rPr>
        <w:t xml:space="preserve">The </w:t>
      </w:r>
      <w:r>
        <w:rPr>
          <w:rFonts w:asciiTheme="minorHAnsi" w:eastAsia="Times New Roman" w:hAnsiTheme="minorHAnsi"/>
          <w:color w:val="4C4D4F"/>
        </w:rPr>
        <w:t xml:space="preserve">Annual Revenue Return reports the total revenues </w:t>
      </w:r>
      <w:r w:rsidR="00D5630C">
        <w:rPr>
          <w:rFonts w:asciiTheme="minorHAnsi" w:eastAsia="Times New Roman" w:hAnsiTheme="minorHAnsi"/>
          <w:color w:val="4C4D4F"/>
        </w:rPr>
        <w:t xml:space="preserve">received by </w:t>
      </w:r>
      <w:r>
        <w:rPr>
          <w:rFonts w:asciiTheme="minorHAnsi" w:eastAsia="Times New Roman" w:hAnsiTheme="minorHAnsi"/>
          <w:color w:val="4C4D4F"/>
        </w:rPr>
        <w:t xml:space="preserve">registered political parties.   </w:t>
      </w:r>
      <w:r w:rsidR="00B46345">
        <w:rPr>
          <w:rFonts w:asciiTheme="minorHAnsi" w:eastAsia="Times New Roman" w:hAnsiTheme="minorHAnsi"/>
          <w:color w:val="4C4D4F"/>
        </w:rPr>
        <w:t xml:space="preserve">Registered political parties are required to file their total revenues on or before the last day in March each year.   Total revenues include all contributions, monetary and in-kind, and the total of all other revenues.   </w:t>
      </w:r>
      <w:r>
        <w:rPr>
          <w:rFonts w:asciiTheme="minorHAnsi" w:eastAsia="Times New Roman" w:hAnsiTheme="minorHAnsi"/>
          <w:color w:val="4C4D4F"/>
        </w:rPr>
        <w:t>Names of contributors of over $50 are reported with only those who contribute over $250 in monetary or in-kind- contributions</w:t>
      </w:r>
      <w:r w:rsidR="00A10D55">
        <w:rPr>
          <w:rFonts w:asciiTheme="minorHAnsi" w:eastAsia="Times New Roman" w:hAnsiTheme="minorHAnsi"/>
          <w:color w:val="4C4D4F"/>
        </w:rPr>
        <w:t xml:space="preserve"> </w:t>
      </w:r>
      <w:r>
        <w:rPr>
          <w:rFonts w:asciiTheme="minorHAnsi" w:eastAsia="Times New Roman" w:hAnsiTheme="minorHAnsi"/>
          <w:color w:val="4C4D4F"/>
        </w:rPr>
        <w:t xml:space="preserve">are named in the report.  </w:t>
      </w:r>
    </w:p>
    <w:p w:rsidR="00233690" w:rsidRPr="007306B8" w:rsidRDefault="00233690" w:rsidP="00B46345">
      <w:pPr>
        <w:pStyle w:val="Default"/>
        <w:spacing w:before="240" w:after="120" w:line="264" w:lineRule="auto"/>
        <w:rPr>
          <w:rFonts w:asciiTheme="minorHAnsi" w:eastAsia="Times New Roman" w:hAnsiTheme="minorHAnsi"/>
          <w:i/>
          <w:color w:val="4C4D4F"/>
        </w:rPr>
      </w:pPr>
      <w:r>
        <w:rPr>
          <w:rFonts w:asciiTheme="minorHAnsi" w:eastAsia="Times New Roman" w:hAnsiTheme="minorHAnsi"/>
          <w:color w:val="4C4D4F"/>
        </w:rPr>
        <w:t xml:space="preserve">The financial regulatory framework of the </w:t>
      </w:r>
      <w:r w:rsidRPr="007306B8">
        <w:rPr>
          <w:rFonts w:asciiTheme="minorHAnsi" w:eastAsia="Times New Roman" w:hAnsiTheme="minorHAnsi"/>
          <w:i/>
          <w:color w:val="4C4D4F"/>
        </w:rPr>
        <w:t>Elections Act</w:t>
      </w:r>
      <w:r>
        <w:rPr>
          <w:rFonts w:asciiTheme="minorHAnsi" w:eastAsia="Times New Roman" w:hAnsiTheme="minorHAnsi"/>
          <w:color w:val="4C4D4F"/>
        </w:rPr>
        <w:t xml:space="preserve"> also requires the filing of returns to cover the election period.  These filings include an Election Revenue Return, an Election Expenses Return, and an Election Financing Return.  </w:t>
      </w:r>
      <w:r w:rsidR="00A10D55">
        <w:rPr>
          <w:rFonts w:asciiTheme="minorHAnsi" w:eastAsia="Times New Roman" w:hAnsiTheme="minorHAnsi"/>
          <w:color w:val="4C4D4F"/>
        </w:rPr>
        <w:t xml:space="preserve">The </w:t>
      </w:r>
      <w:r w:rsidR="00A10D55" w:rsidRPr="00A10D55">
        <w:rPr>
          <w:rFonts w:asciiTheme="minorHAnsi" w:eastAsia="Times New Roman" w:hAnsiTheme="minorHAnsi"/>
          <w:i/>
          <w:color w:val="4C4D4F"/>
        </w:rPr>
        <w:t>Elections Act</w:t>
      </w:r>
      <w:r w:rsidR="00A10D55">
        <w:rPr>
          <w:rFonts w:asciiTheme="minorHAnsi" w:eastAsia="Times New Roman" w:hAnsiTheme="minorHAnsi"/>
          <w:color w:val="4C4D4F"/>
        </w:rPr>
        <w:t xml:space="preserve"> requires n</w:t>
      </w:r>
      <w:r>
        <w:rPr>
          <w:rFonts w:asciiTheme="minorHAnsi" w:eastAsia="Times New Roman" w:hAnsiTheme="minorHAnsi"/>
          <w:color w:val="4C4D4F"/>
        </w:rPr>
        <w:t xml:space="preserve">o other financial </w:t>
      </w:r>
      <w:r w:rsidR="007306B8">
        <w:rPr>
          <w:rFonts w:asciiTheme="minorHAnsi" w:eastAsia="Times New Roman" w:hAnsiTheme="minorHAnsi"/>
          <w:color w:val="4C4D4F"/>
        </w:rPr>
        <w:t>filings by political parties or candidates</w:t>
      </w:r>
      <w:r w:rsidR="00A10D55">
        <w:rPr>
          <w:rFonts w:asciiTheme="minorHAnsi" w:eastAsia="Times New Roman" w:hAnsiTheme="minorHAnsi"/>
          <w:color w:val="4C4D4F"/>
        </w:rPr>
        <w:t xml:space="preserve">.  </w:t>
      </w:r>
      <w:r w:rsidRPr="007306B8">
        <w:rPr>
          <w:rFonts w:asciiTheme="minorHAnsi" w:eastAsia="Times New Roman" w:hAnsiTheme="minorHAnsi"/>
          <w:i/>
          <w:color w:val="4C4D4F"/>
        </w:rPr>
        <w:t xml:space="preserve">    </w:t>
      </w:r>
    </w:p>
    <w:p w:rsidR="007306B8" w:rsidRDefault="007306B8" w:rsidP="00B46345">
      <w:pPr>
        <w:pStyle w:val="Default"/>
        <w:spacing w:before="240" w:after="120" w:line="264" w:lineRule="auto"/>
        <w:rPr>
          <w:rFonts w:asciiTheme="minorHAnsi" w:eastAsia="Times New Roman" w:hAnsiTheme="minorHAnsi"/>
          <w:color w:val="4C4D4F"/>
        </w:rPr>
      </w:pPr>
      <w:r w:rsidRPr="007306B8">
        <w:rPr>
          <w:rFonts w:asciiTheme="minorHAnsi" w:eastAsia="Times New Roman" w:hAnsiTheme="minorHAnsi"/>
          <w:b/>
          <w:color w:val="4C4D4F"/>
        </w:rPr>
        <w:t>Quote:</w:t>
      </w:r>
      <w:r>
        <w:rPr>
          <w:rFonts w:asciiTheme="minorHAnsi" w:eastAsia="Times New Roman" w:hAnsiTheme="minorHAnsi"/>
          <w:color w:val="4C4D4F"/>
        </w:rPr>
        <w:t xml:space="preserve">  Maxwell Harvey, Chief Electoral Officer</w:t>
      </w:r>
      <w:r w:rsidR="00A10D55">
        <w:rPr>
          <w:rFonts w:asciiTheme="minorHAnsi" w:eastAsia="Times New Roman" w:hAnsiTheme="minorHAnsi"/>
          <w:color w:val="4C4D4F"/>
        </w:rPr>
        <w:t>: “</w:t>
      </w:r>
      <w:r>
        <w:rPr>
          <w:rFonts w:asciiTheme="minorHAnsi" w:eastAsia="Times New Roman" w:hAnsiTheme="minorHAnsi"/>
          <w:color w:val="4C4D4F"/>
        </w:rPr>
        <w:t xml:space="preserve">In a democracy, political parties and movements compete to form governments.  Access to funding </w:t>
      </w:r>
      <w:r w:rsidR="00D5630C">
        <w:rPr>
          <w:rFonts w:asciiTheme="minorHAnsi" w:eastAsia="Times New Roman" w:hAnsiTheme="minorHAnsi"/>
          <w:color w:val="4C4D4F"/>
        </w:rPr>
        <w:t xml:space="preserve">by political parties and candidates </w:t>
      </w:r>
      <w:r>
        <w:rPr>
          <w:rFonts w:asciiTheme="minorHAnsi" w:eastAsia="Times New Roman" w:hAnsiTheme="minorHAnsi"/>
          <w:color w:val="4C4D4F"/>
        </w:rPr>
        <w:t xml:space="preserve">is </w:t>
      </w:r>
      <w:r w:rsidR="00D5630C">
        <w:rPr>
          <w:rFonts w:asciiTheme="minorHAnsi" w:eastAsia="Times New Roman" w:hAnsiTheme="minorHAnsi"/>
          <w:color w:val="4C4D4F"/>
        </w:rPr>
        <w:t xml:space="preserve">a </w:t>
      </w:r>
      <w:r>
        <w:rPr>
          <w:rFonts w:asciiTheme="minorHAnsi" w:eastAsia="Times New Roman" w:hAnsiTheme="minorHAnsi"/>
          <w:color w:val="4C4D4F"/>
        </w:rPr>
        <w:t xml:space="preserve">critical </w:t>
      </w:r>
      <w:r w:rsidR="00D5630C">
        <w:rPr>
          <w:rFonts w:asciiTheme="minorHAnsi" w:eastAsia="Times New Roman" w:hAnsiTheme="minorHAnsi"/>
          <w:color w:val="4C4D4F"/>
        </w:rPr>
        <w:t xml:space="preserve">element in support of their </w:t>
      </w:r>
      <w:r>
        <w:rPr>
          <w:rFonts w:asciiTheme="minorHAnsi" w:eastAsia="Times New Roman" w:hAnsiTheme="minorHAnsi"/>
          <w:color w:val="4C4D4F"/>
        </w:rPr>
        <w:t>outreach to the electorate</w:t>
      </w:r>
      <w:r w:rsidR="00D5630C">
        <w:rPr>
          <w:rFonts w:asciiTheme="minorHAnsi" w:eastAsia="Times New Roman" w:hAnsiTheme="minorHAnsi"/>
          <w:color w:val="4C4D4F"/>
        </w:rPr>
        <w:t xml:space="preserve">.   </w:t>
      </w:r>
      <w:r>
        <w:rPr>
          <w:rFonts w:asciiTheme="minorHAnsi" w:eastAsia="Times New Roman" w:hAnsiTheme="minorHAnsi"/>
          <w:color w:val="4C4D4F"/>
        </w:rPr>
        <w:t xml:space="preserve">It also supports the public’s right to participate by making contributions.  Political financing regulation and </w:t>
      </w:r>
      <w:r w:rsidR="00D5630C">
        <w:rPr>
          <w:rFonts w:asciiTheme="minorHAnsi" w:eastAsia="Times New Roman" w:hAnsiTheme="minorHAnsi"/>
          <w:color w:val="4C4D4F"/>
        </w:rPr>
        <w:t xml:space="preserve">proactive </w:t>
      </w:r>
      <w:r>
        <w:rPr>
          <w:rFonts w:asciiTheme="minorHAnsi" w:eastAsia="Times New Roman" w:hAnsiTheme="minorHAnsi"/>
          <w:color w:val="4C4D4F"/>
        </w:rPr>
        <w:t xml:space="preserve">disclosure requirements are designed to </w:t>
      </w:r>
      <w:bookmarkStart w:id="0" w:name="_GoBack"/>
      <w:bookmarkEnd w:id="0"/>
      <w:r>
        <w:rPr>
          <w:rFonts w:asciiTheme="minorHAnsi" w:eastAsia="Times New Roman" w:hAnsiTheme="minorHAnsi"/>
          <w:color w:val="4C4D4F"/>
        </w:rPr>
        <w:t xml:space="preserve">make political financing fair and transparent. </w:t>
      </w:r>
    </w:p>
    <w:p w:rsidR="00B46345" w:rsidRPr="00853E9F" w:rsidRDefault="00B46345" w:rsidP="00B46345">
      <w:pPr>
        <w:pStyle w:val="Default"/>
        <w:rPr>
          <w:rFonts w:asciiTheme="minorHAnsi" w:hAnsiTheme="minorHAnsi"/>
          <w:b/>
          <w:color w:val="auto"/>
        </w:rPr>
      </w:pPr>
    </w:p>
    <w:p w:rsidR="008B7217" w:rsidRDefault="008B7217" w:rsidP="00B46345">
      <w:pPr>
        <w:pStyle w:val="NormalWeb"/>
        <w:shd w:val="clear" w:color="auto" w:fill="FFFFFF"/>
        <w:tabs>
          <w:tab w:val="left" w:pos="1170"/>
        </w:tabs>
        <w:rPr>
          <w:rStyle w:val="Strong"/>
          <w:rFonts w:ascii="Calibri" w:hAnsi="Calibri" w:cs="Calibri"/>
          <w:color w:val="000000"/>
        </w:rPr>
      </w:pPr>
    </w:p>
    <w:p w:rsidR="00B46345" w:rsidRDefault="00B46345" w:rsidP="00B46345">
      <w:pPr>
        <w:pStyle w:val="NormalWeb"/>
        <w:shd w:val="clear" w:color="auto" w:fill="FFFFFF"/>
        <w:tabs>
          <w:tab w:val="left" w:pos="1170"/>
        </w:tabs>
        <w:rPr>
          <w:rFonts w:ascii="Calibri" w:hAnsi="Calibri" w:cs="Calibri"/>
          <w:color w:val="000000"/>
        </w:rPr>
      </w:pPr>
      <w:r>
        <w:rPr>
          <w:rStyle w:val="Strong"/>
          <w:rFonts w:ascii="Calibri" w:hAnsi="Calibri" w:cs="Calibri"/>
          <w:color w:val="000000"/>
        </w:rPr>
        <w:t xml:space="preserve">Contact:    </w:t>
      </w:r>
      <w:r>
        <w:rPr>
          <w:rStyle w:val="Strong"/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>Dave Wilkie, Assistant Chief Electoral Officer</w:t>
      </w:r>
    </w:p>
    <w:p w:rsidR="008B7217" w:rsidRDefault="00B46345" w:rsidP="00B46345">
      <w:pPr>
        <w:pStyle w:val="NormalWeb"/>
        <w:shd w:val="clear" w:color="auto" w:fill="FFFFFF"/>
        <w:ind w:firstLine="117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phone: 867-667-8683 or 1-866-668-8683 (toll free)     </w:t>
      </w:r>
    </w:p>
    <w:p w:rsidR="00B46345" w:rsidRDefault="00B46345" w:rsidP="00B46345">
      <w:pPr>
        <w:pStyle w:val="NormalWeb"/>
        <w:shd w:val="clear" w:color="auto" w:fill="FFFFFF"/>
        <w:ind w:firstLine="117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email: </w:t>
      </w:r>
      <w:hyperlink r:id="rId9" w:history="1">
        <w:r w:rsidR="008B7217" w:rsidRPr="008B7217">
          <w:rPr>
            <w:rStyle w:val="Hyperlink"/>
            <w:rFonts w:ascii="Calibri" w:hAnsi="Calibri" w:cs="Calibri"/>
          </w:rPr>
          <w:t>dave.wilkie</w:t>
        </w:r>
        <w:r w:rsidRPr="008B7217">
          <w:rPr>
            <w:rStyle w:val="Hyperlink"/>
            <w:rFonts w:ascii="Calibri" w:hAnsi="Calibri" w:cs="Calibri"/>
          </w:rPr>
          <w:t>@electionsyukon.ca</w:t>
        </w:r>
      </w:hyperlink>
      <w:r>
        <w:rPr>
          <w:rFonts w:ascii="Calibri" w:hAnsi="Calibri" w:cs="Calibri"/>
          <w:color w:val="000000"/>
        </w:rPr>
        <w:t xml:space="preserve"> </w:t>
      </w:r>
    </w:p>
    <w:p w:rsidR="00B46345" w:rsidRDefault="00B46345" w:rsidP="00B46345">
      <w:pPr>
        <w:pStyle w:val="NormalWeb"/>
        <w:shd w:val="clear" w:color="auto" w:fill="FFFFFF"/>
        <w:rPr>
          <w:rFonts w:ascii="Calibri" w:hAnsi="Calibri" w:cs="Calibri"/>
          <w:color w:val="000000"/>
        </w:rPr>
      </w:pPr>
    </w:p>
    <w:p w:rsidR="00B46345" w:rsidRDefault="00B46345" w:rsidP="00B46345">
      <w:pPr>
        <w:pStyle w:val="NormalWeb"/>
        <w:shd w:val="clear" w:color="auto" w:fill="FFFFFF"/>
        <w:jc w:val="center"/>
        <w:rPr>
          <w:rStyle w:val="Strong"/>
          <w:rFonts w:ascii="Calibri" w:hAnsi="Calibri" w:cs="Calibri"/>
          <w:b w:val="0"/>
          <w:color w:val="000000"/>
          <w:sz w:val="22"/>
          <w:szCs w:val="22"/>
        </w:rPr>
      </w:pPr>
      <w:r>
        <w:rPr>
          <w:rFonts w:ascii="Calibri" w:hAnsi="Calibri" w:cs="Calibri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B1970F" wp14:editId="28FCDE1C">
                <wp:simplePos x="0" y="0"/>
                <wp:positionH relativeFrom="page">
                  <wp:align>center</wp:align>
                </wp:positionH>
                <wp:positionV relativeFrom="paragraph">
                  <wp:posOffset>79375</wp:posOffset>
                </wp:positionV>
                <wp:extent cx="63531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F24EF6" id="Straight Connector 2" o:spid="_x0000_s1026" style="position:absolute;z-index:25166540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6.25pt" to="500.2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" strokecolor="#002060" strokeweight="2pt">
                <v:stroke joinstyle="miter"/>
                <w10:wrap anchorx="page"/>
              </v:line>
            </w:pict>
          </mc:Fallback>
        </mc:AlternateContent>
      </w:r>
    </w:p>
    <w:p w:rsidR="002C5289" w:rsidRPr="007306B8" w:rsidRDefault="00B46345" w:rsidP="007306B8">
      <w:pPr>
        <w:pStyle w:val="NormalWeb"/>
        <w:shd w:val="clear" w:color="auto" w:fill="FFFFFF" w:themeFill="background1"/>
        <w:spacing w:before="120" w:after="240"/>
        <w:jc w:val="center"/>
        <w:rPr>
          <w:rStyle w:val="Strong"/>
          <w:rFonts w:asciiTheme="minorHAnsi" w:hAnsiTheme="minorHAnsi" w:cstheme="minorHAnsi"/>
          <w:b w:val="0"/>
        </w:rPr>
      </w:pPr>
      <w:r w:rsidRPr="002C5289">
        <w:rPr>
          <w:rFonts w:asciiTheme="minorHAnsi" w:hAnsiTheme="minorHAnsi" w:cstheme="minorHAnsi"/>
          <w:bCs/>
        </w:rPr>
        <w:t>Elections Yukon is an independent non-partisan office of the Legislative Assembly responsible for the administration of territorial, school council and school board elections.</w:t>
      </w:r>
    </w:p>
    <w:sectPr w:rsidR="002C5289" w:rsidRPr="007306B8" w:rsidSect="00F50542">
      <w:pgSz w:w="12240" w:h="15840"/>
      <w:pgMar w:top="720" w:right="1080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C6" w:rsidRDefault="007C38C6" w:rsidP="00654FB7">
      <w:pPr>
        <w:spacing w:after="0" w:line="240" w:lineRule="auto"/>
      </w:pPr>
      <w:r>
        <w:separator/>
      </w:r>
    </w:p>
  </w:endnote>
  <w:endnote w:type="continuationSeparator" w:id="0">
    <w:p w:rsidR="007C38C6" w:rsidRDefault="007C38C6" w:rsidP="0065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C6" w:rsidRDefault="007C38C6" w:rsidP="00654FB7">
      <w:pPr>
        <w:spacing w:after="0" w:line="240" w:lineRule="auto"/>
      </w:pPr>
      <w:r>
        <w:separator/>
      </w:r>
    </w:p>
  </w:footnote>
  <w:footnote w:type="continuationSeparator" w:id="0">
    <w:p w:rsidR="007C38C6" w:rsidRDefault="007C38C6" w:rsidP="00654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3DBD"/>
    <w:multiLevelType w:val="hybridMultilevel"/>
    <w:tmpl w:val="8EF83A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4F4A29"/>
    <w:multiLevelType w:val="multilevel"/>
    <w:tmpl w:val="98F2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1233CE"/>
    <w:multiLevelType w:val="hybridMultilevel"/>
    <w:tmpl w:val="44B09E48"/>
    <w:lvl w:ilvl="0" w:tplc="F516C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B62EA3"/>
    <w:multiLevelType w:val="hybridMultilevel"/>
    <w:tmpl w:val="A7388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42364"/>
    <w:multiLevelType w:val="hybridMultilevel"/>
    <w:tmpl w:val="F992F3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4603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D01CCC"/>
    <w:multiLevelType w:val="hybridMultilevel"/>
    <w:tmpl w:val="E7845D90"/>
    <w:lvl w:ilvl="0" w:tplc="F516C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AB"/>
    <w:rsid w:val="00091C86"/>
    <w:rsid w:val="000A1214"/>
    <w:rsid w:val="00121EAB"/>
    <w:rsid w:val="00182CB9"/>
    <w:rsid w:val="001A4B3E"/>
    <w:rsid w:val="001C30F9"/>
    <w:rsid w:val="00233690"/>
    <w:rsid w:val="0028425D"/>
    <w:rsid w:val="002C5289"/>
    <w:rsid w:val="0031757E"/>
    <w:rsid w:val="00325D0C"/>
    <w:rsid w:val="003832F9"/>
    <w:rsid w:val="003C0361"/>
    <w:rsid w:val="003C48E6"/>
    <w:rsid w:val="003E7A25"/>
    <w:rsid w:val="0041408F"/>
    <w:rsid w:val="00421C58"/>
    <w:rsid w:val="00433452"/>
    <w:rsid w:val="00443D7F"/>
    <w:rsid w:val="00454B71"/>
    <w:rsid w:val="004942CF"/>
    <w:rsid w:val="004C3F26"/>
    <w:rsid w:val="004F205C"/>
    <w:rsid w:val="00552C3D"/>
    <w:rsid w:val="00581722"/>
    <w:rsid w:val="00654FB7"/>
    <w:rsid w:val="00671B8F"/>
    <w:rsid w:val="007306B8"/>
    <w:rsid w:val="007C38C6"/>
    <w:rsid w:val="007E68CF"/>
    <w:rsid w:val="00821AB6"/>
    <w:rsid w:val="00831C18"/>
    <w:rsid w:val="00843C19"/>
    <w:rsid w:val="008B7217"/>
    <w:rsid w:val="00904A7D"/>
    <w:rsid w:val="009157A1"/>
    <w:rsid w:val="00917C30"/>
    <w:rsid w:val="00A10D55"/>
    <w:rsid w:val="00A41330"/>
    <w:rsid w:val="00AE2A1E"/>
    <w:rsid w:val="00B44918"/>
    <w:rsid w:val="00B46345"/>
    <w:rsid w:val="00BD0F45"/>
    <w:rsid w:val="00C77C1B"/>
    <w:rsid w:val="00D05D37"/>
    <w:rsid w:val="00D5630C"/>
    <w:rsid w:val="00D8104A"/>
    <w:rsid w:val="00E053C0"/>
    <w:rsid w:val="00EF7D41"/>
    <w:rsid w:val="00F10738"/>
    <w:rsid w:val="00F10CB0"/>
    <w:rsid w:val="00F50542"/>
    <w:rsid w:val="00FC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8FA0BBF"/>
  <w15:chartTrackingRefBased/>
  <w15:docId w15:val="{A826356F-37F1-4D90-ACFC-0776E828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1EA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21EA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21EA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E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D0F45"/>
    <w:pPr>
      <w:ind w:left="720"/>
      <w:contextualSpacing/>
    </w:pPr>
  </w:style>
  <w:style w:type="table" w:styleId="TableGrid">
    <w:name w:val="Table Grid"/>
    <w:basedOn w:val="TableNormal"/>
    <w:uiPriority w:val="39"/>
    <w:rsid w:val="00831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E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8C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4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FB7"/>
  </w:style>
  <w:style w:type="paragraph" w:styleId="Footer">
    <w:name w:val="footer"/>
    <w:basedOn w:val="Normal"/>
    <w:link w:val="FooterChar"/>
    <w:uiPriority w:val="99"/>
    <w:unhideWhenUsed/>
    <w:rsid w:val="00654F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FB7"/>
  </w:style>
  <w:style w:type="paragraph" w:customStyle="1" w:styleId="Default">
    <w:name w:val="Default"/>
    <w:rsid w:val="00B463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ctionsyukon.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avewilkie@electionsyukon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Lisa.Anderson</dc:creator>
  <cp:keywords/>
  <dc:description/>
  <cp:lastModifiedBy>Maxwell.Harvey</cp:lastModifiedBy>
  <cp:revision>6</cp:revision>
  <cp:lastPrinted>2020-07-08T23:01:00Z</cp:lastPrinted>
  <dcterms:created xsi:type="dcterms:W3CDTF">2020-07-10T23:20:00Z</dcterms:created>
  <dcterms:modified xsi:type="dcterms:W3CDTF">2020-07-13T16:25:00Z</dcterms:modified>
</cp:coreProperties>
</file>